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CC1" w:rsidRDefault="00F82CC1">
      <w:r>
        <w:t>DOMIN  d.o.o. u stečaju                                                                                                                                                 Slavonski Brod, A. Šenoe 6                                                                                                                                                                                                              OIB: 33984672672                                                                                                                                                                                 Stečajni upravitelj                                                                                                                                                             Milan Nakić                                                                                                                                                                                  Pakrac, J.J.Strossmayera 20</w:t>
      </w:r>
    </w:p>
    <w:p w:rsidR="00F82CC1" w:rsidRDefault="00F82CC1">
      <w:r>
        <w:t xml:space="preserve">Pakrac, 09. listopada 2015. </w:t>
      </w:r>
    </w:p>
    <w:p w:rsidR="00F82CC1" w:rsidRDefault="00F82CC1" w:rsidP="00325EAD">
      <w:pPr>
        <w:ind w:left="5304"/>
        <w:rPr>
          <w:b/>
        </w:rPr>
      </w:pPr>
      <w:r>
        <w:t>TRGOVAČKI NSUD U OSIJEKU                           STALNA SLUŽBA TRGOVAČKOG SUDA U OSIJEKU                                                               Slavonski Brod, Trg pobjede 13</w:t>
      </w:r>
      <w:r w:rsidRPr="00321CC8">
        <w:rPr>
          <w:b/>
        </w:rPr>
        <w:t xml:space="preserve"> </w:t>
      </w:r>
      <w:r>
        <w:rPr>
          <w:b/>
        </w:rPr>
        <w:t xml:space="preserve"> </w:t>
      </w:r>
    </w:p>
    <w:p w:rsidR="00F82CC1" w:rsidRPr="00F551C5" w:rsidRDefault="00F82CC1" w:rsidP="00F551C5">
      <w:pPr>
        <w:ind w:left="5355"/>
      </w:pPr>
      <w:r w:rsidRPr="00F551C5">
        <w:t xml:space="preserve">-Stečajna sutkinja                                                                                                 - Odbor vjerovnika                                                                                                                                                  </w:t>
      </w:r>
    </w:p>
    <w:p w:rsidR="00F82CC1" w:rsidRDefault="00F82CC1" w:rsidP="00325EAD">
      <w:pPr>
        <w:ind w:left="5304"/>
      </w:pPr>
      <w:r>
        <w:rPr>
          <w:b/>
        </w:rPr>
        <w:t xml:space="preserve">Broj: St-12/2011 </w:t>
      </w:r>
    </w:p>
    <w:p w:rsidR="00F82CC1" w:rsidRDefault="00F82CC1" w:rsidP="00325EAD">
      <w:pPr>
        <w:ind w:left="1416" w:firstLine="1254"/>
      </w:pPr>
      <w:r w:rsidRPr="00325EAD">
        <w:rPr>
          <w:b/>
        </w:rPr>
        <w:t xml:space="preserve">                </w:t>
      </w:r>
      <w:r>
        <w:rPr>
          <w:b/>
        </w:rPr>
        <w:t xml:space="preserve">  </w:t>
      </w:r>
      <w:r w:rsidRPr="00325EAD">
        <w:rPr>
          <w:b/>
        </w:rPr>
        <w:t xml:space="preserve"> IZVJEŠĆE                                                                                                                                              O TIJEKU  STEČAJNOG POSTUPKA I STANJU STEČAJNE MASE                                                                                                </w:t>
      </w:r>
      <w:r>
        <w:t>( 01.07. – 30.09.2015. godine)</w:t>
      </w:r>
    </w:p>
    <w:p w:rsidR="00F82CC1" w:rsidRDefault="00F82CC1" w:rsidP="001E231A">
      <w:pPr>
        <w:pStyle w:val="ListParagraph"/>
        <w:numPr>
          <w:ilvl w:val="0"/>
          <w:numId w:val="10"/>
        </w:numPr>
      </w:pPr>
      <w:r w:rsidRPr="001E231A">
        <w:rPr>
          <w:b/>
        </w:rPr>
        <w:t>UVOD</w:t>
      </w:r>
    </w:p>
    <w:p w:rsidR="00F82CC1" w:rsidRDefault="00F82CC1" w:rsidP="00DC5124">
      <w:r>
        <w:t xml:space="preserve"> Rješenjem naslovnog suda broj:  St-17/2011-807, od  16. lipnja 2015. godine imenovan sam, kao peti  u nizu,  za stečajnog upravitelja stečajnog dužnika DOMIN  d.o.o. u stečaju, Slavonski Brod, A. Šenoe 6, umjesto razriješenog stečajnog upravitelja Marinka Paić  iz Zagreba.</w:t>
      </w:r>
    </w:p>
    <w:p w:rsidR="00F82CC1" w:rsidRDefault="00F82CC1" w:rsidP="00DC5124">
      <w:r>
        <w:t>Primopredaja dužnosti između stečajnih upravitelja obavljena je dana 08.07.2015. godine kada je razriješeni stečajni upravitelj predao novoimenovanom stečajnom upravitelju poslovnu dokumentaciju stečajnog dužnika,  o čemu je sastavljen zapisnik.</w:t>
      </w:r>
    </w:p>
    <w:p w:rsidR="00F82CC1" w:rsidRPr="00161E9C" w:rsidRDefault="00F82CC1" w:rsidP="00161E9C">
      <w:pPr>
        <w:pStyle w:val="ListParagraph"/>
        <w:numPr>
          <w:ilvl w:val="0"/>
          <w:numId w:val="10"/>
        </w:numPr>
      </w:pPr>
      <w:r>
        <w:rPr>
          <w:b/>
        </w:rPr>
        <w:t>ZATEČENO STANJE I PODUZETE RADNJE</w:t>
      </w:r>
      <w:r w:rsidRPr="00161E9C">
        <w:rPr>
          <w:b/>
        </w:rPr>
        <w:t>:</w:t>
      </w:r>
    </w:p>
    <w:p w:rsidR="00F82CC1" w:rsidRDefault="00F82CC1" w:rsidP="00161E9C">
      <w:r>
        <w:t>U vrijeme preuzimanja postupka, zatekao sam dva stečajna plana predložena od strane bivših stečajnih upravitelja-Kovačevića i Paića, blokiran žiro račun dužnika za iznos od 260.722,63 kn, nesređeno knjigovodstvo, nepoznati troškovi ostvareni u dosadašnjem tijeku stečajnog postupka, kao i precizno nedefinirane ostale obveze stečajne mase.</w:t>
      </w:r>
    </w:p>
    <w:p w:rsidR="00F82CC1" w:rsidRDefault="00F82CC1" w:rsidP="00DC5124">
      <w:r>
        <w:t xml:space="preserve">Pristupio sam sređivanju knjigovodstvene dokumentacije  dužnika, procijenio obveze stečajne mase i moguće prihode od unovčenja stečajne mase i zaključio da je stečajna masa nedostatna za namirenje dospjelih i predvidivih obveza stečajne mase, te sam 18. lipnja 2015. godine podnio prijavu stečajnoj sutkinji o nedostatnosti stečajne mase za namirenje ostalih obveza stečajne mase, a oglas o tome objavljen je u „ Narodnim novinama“  br. 77/2015., od 15.07.2015. godine.  Nakon toga, podnio sam zahtjev  FINA-i  Slavonski Brod i „Hrvatskim vodama“  za deblokadu poslovnog računa stečajnog dužnika pozivajući se na odredbe  članka 206. Stečajnog zakona  (NN br. 44/96 i dalje ), koji propis se primjenjuje u stečajnom postupku nad dužnikom, a kojom odredbom je propisano da čim stečajni upravitelj prijavi nedostatnost stečajne mase za pokriće troškova stečajnog postupka ili za ispunjenje ostalih obveza stečajne mase, nije dopuštena ovrha radi naplate obveza stečajne mase. FINA i „Hrvatske vode“  još nisu  riješili o zahtjevu stečajnog upravitelja.                                                                                      Sklopio sam ugovor o obavljanju knjigovodstvenih usluga sa knjigovodstvenim servisom za iznos od 1.000,00 kn s PDV mjesečno, s odgodom plaćanja dok se u stečajnoj masi ne prikupe potrebna novčana sredstva .                                                                                                                                                                    Sklopio sam ugovor o djelu radi nadziranja nekretnina u vlasništvu stečajnog dužnika u Podcrkavlju , za iznos od 1.500,00 kn neto mjesečno, s odgodom plaćanja dok se u stečajnoj masi ne prikupe dostatna novčana sredstva. </w:t>
      </w:r>
    </w:p>
    <w:p w:rsidR="00F82CC1" w:rsidRDefault="00F82CC1" w:rsidP="00DC5124">
      <w:r>
        <w:t xml:space="preserve">U ovom stečajnom postupku sud niti stečajni upravitelj nisu u mogućnosti pristupiti unovčenju stečajne mase dužnika i namirenju tražbina vjerovnika, što je u konačnici i svrha stečajnog postupka, radi toga što jedna grupa stečajnih vjerovnika stalno,  putem stečajnih upravitelja kao „predlagatelja“,  koristi procesne mogućnosti  i  gura stečajne planove koji  se zasnivaju na utopističkoj ideji o revitalizaciji proizvodne aktivnosti dužnika, a da za to ne postoje baš nikakve materijalne pretpostavke i na taj način onemogućuju unovčenje stečajne mase dužnika. Smjenjuju se suci, stečajni upravitelji, gomilaju se, a ne namiruju  obveze stečajne mase i tako već 10 godina. Dužnik ne obavlja poslovne djelatnosti više od 10 godina, nema koncesiju za obavljanje osnovne djelatnosti iz njegova predmeta poslovanja, nema zaposlenih  radnika.  Materijalna osnova (zgrade, strojevi i oprema) za nastavak proizvodnje je znatno oštećena, pokradena i devastirana te su za njenu revitalizaciju, kao i za obrtna sredstva, potrebna znatna financijska sredstva koja dužnik nema, a niti ima pristup izvorima financiranja. Nije izgledno da dužnik može na financijskom tržištu namaknuti  sredstva dostatna za namirenje obveza i pokretanje poslovnih aktivnosti. </w:t>
      </w:r>
    </w:p>
    <w:p w:rsidR="00F82CC1" w:rsidRDefault="00F82CC1" w:rsidP="00DC5124">
      <w:r>
        <w:t>Rješenjem stečajne sutkinje od 07.07.2015. godine naloženo mi je da otklonim nedostatke u zadnjem stečajnom planu koji je predložio prethodni stečajni upravitelj Marinko Paić, u roku od 80 dana od dana primitka rješenja. Predmetni stečajni plan sastoji se od popisa imovine i obveza stečajnog dužnika, sadržajno nije usklađen  sa  odredbama  Stečajnog zakona  o sadržaju stečajnog plana, tako da je taj plan nije  bilo moguće dopuniti ili nedostatke otkloniti.  Pokušao sam ishoditi bankarsku garanciju za osiguranje ispunjenja obveza koje proizlaze  iz stečajnog plana, međutim niti jedna od pozvanih banaka nije bila voljna izdati bankarsku garanciju dužniku. Nakon toga , rad na tom planu nije imao nikakvog smisla. Umjesto bankarske garancije, uspio sam pribaviti izjavu gospodina Denisa Šimunić iz Zagreba kojom je iskazao spremnost za ispunjenje financijskih obveza koje proizlaze iz stečajnog plana u slučaju potvrde istog, ali toj izjavi nije priloženo nikakvo osiguranje za ispunjenje predmetnih obveza.</w:t>
      </w:r>
    </w:p>
    <w:p w:rsidR="00F82CC1" w:rsidRDefault="00F82CC1" w:rsidP="00DC5124">
      <w:r>
        <w:t>Slijedom navedenog, stečajna sutkinja je rješenjem od 21.09.2015. godine odbacila stečajne planove podnesene sudu 30.10.2014. i 20.05.2015. godine. Stečajni upravitelj je, na zahtjev stečajnih vjerovnika koji podupiru te planove, podnio žalbu na rješenje suda o odbacivanju stečajnih planova.   Čeka se odluka o žalbi.</w:t>
      </w:r>
    </w:p>
    <w:p w:rsidR="00F82CC1" w:rsidRDefault="00F82CC1" w:rsidP="00DC5124">
      <w:r>
        <w:t xml:space="preserve">Stečajni upravitelj smatra  da stečajni dužnik nema mogućnosti za obnovu i nastavak proizvodnih aktivnosti, tako da nije realno  stečajni plan temeljiti na tim osnovama. Smatram da na skupštini vjerovnici trebaju donijeti odluku o daljnjem tijeku stečajnog postupka.   </w:t>
      </w:r>
    </w:p>
    <w:p w:rsidR="00F82CC1" w:rsidRDefault="00F82CC1" w:rsidP="00DC5124"/>
    <w:p w:rsidR="00F82CC1" w:rsidRDefault="00F82CC1" w:rsidP="00DC5124">
      <w:r>
        <w:t xml:space="preserve">                                                                                        </w:t>
      </w:r>
    </w:p>
    <w:p w:rsidR="00F82CC1" w:rsidRPr="001E231A" w:rsidRDefault="00F82CC1" w:rsidP="001E231A">
      <w:pPr>
        <w:pStyle w:val="ListParagraph"/>
        <w:numPr>
          <w:ilvl w:val="0"/>
          <w:numId w:val="10"/>
        </w:numPr>
        <w:rPr>
          <w:b/>
        </w:rPr>
      </w:pPr>
      <w:r w:rsidRPr="001E231A">
        <w:rPr>
          <w:b/>
        </w:rPr>
        <w:t xml:space="preserve">STANJE STEČAJNE MASE  </w:t>
      </w:r>
    </w:p>
    <w:p w:rsidR="00F82CC1" w:rsidRDefault="00F82CC1" w:rsidP="00206CED">
      <w:r w:rsidRPr="00591656">
        <w:t xml:space="preserve">Stečajna masa dužnika sastoji se od </w:t>
      </w:r>
      <w:r>
        <w:t xml:space="preserve"> nekretnina:</w:t>
      </w:r>
      <w:r w:rsidRPr="00591656">
        <w:rPr>
          <w:b/>
        </w:rPr>
        <w:t xml:space="preserve">                                                               </w:t>
      </w:r>
      <w:r w:rsidRPr="00206CED">
        <w:rPr>
          <w:b/>
        </w:rPr>
        <w:t xml:space="preserve">                                                                                                                                                    </w:t>
      </w:r>
      <w:r>
        <w:rPr>
          <w:b/>
        </w:rPr>
        <w:t xml:space="preserve">                 </w:t>
      </w:r>
      <w:r w:rsidRPr="00206CED">
        <w:rPr>
          <w:b/>
        </w:rPr>
        <w:t xml:space="preserve"> </w:t>
      </w:r>
      <w:r w:rsidRPr="006A2B46">
        <w:rPr>
          <w:b/>
        </w:rPr>
        <w:t xml:space="preserve">1. </w:t>
      </w:r>
      <w:r>
        <w:rPr>
          <w:b/>
        </w:rPr>
        <w:t>U</w:t>
      </w:r>
      <w:r w:rsidRPr="006A2B46">
        <w:rPr>
          <w:b/>
        </w:rPr>
        <w:t>pisane u z.k.ul. 430</w:t>
      </w:r>
      <w:r>
        <w:t>, k.o. Slatnik Mali, oznake:                                                                                                                                               - k.č.br. 14/02, tvornica Domin, površine 2514 m2,                                                                                                                                                 - k.č.br. 19, tvornica i ekonomsko dvorište Domin, površine 5771 m2,                                                                                                         - k.č.br. 20, tvornica i ekonomsko dvorište Domin, površine 10797 m2,                                                                                                  - k.č.br. 22, tvornica i ekonomsko dvorište Domin, površine 1256 m2,                                                                                      - k.č.br. 23, tvornica i ekonomsko dvorište Domin, površine 5895 m2,                                                                                                           - k.č.br. 26/1,  parkiralište Domin, površine 1989 m2,                                                                                                            - k.č.br. 27, tvornica i ekonomsko dvorište Domin, površine 2957 m2.                                                                                                     U navedenom z.k. ulošku zabilježena je činjenica postojanja prijedloga osiguranja uknjižbom prava zaloga predlagatelja osiguranja RH, Ministarstva financija, Porezna uprava, Područni ured Slavonski Brod, temeljem rješenja Općinskog suda u Sl. Brodu, posl. broj: Ovr-381/00-12, od 02.06.2006. godine.</w:t>
      </w:r>
    </w:p>
    <w:p w:rsidR="00F82CC1" w:rsidRDefault="00F82CC1" w:rsidP="00206CED">
      <w:r w:rsidRPr="006A2B46">
        <w:rPr>
          <w:b/>
        </w:rPr>
        <w:t>2. Upisane u z.k.ul. br. 431</w:t>
      </w:r>
      <w:r>
        <w:t>, k.o. Slatnik Mali, oznake:                                                                                                                - k.č.br. 18, Tvornica Domin, površine 478 m2,                                                                                                                     - k.č.br. 28, parkiralište Domin, površine 3345 m2.                                                                                                                                                                       Na navedenim nekretninama uknjiženo je pravo zaloga  za glavni dug u iznosu od 546.000,00 kn s pripadajućim kamatama, temeljem ovjerovljene izjave o zajmu od dana 26.04.1995. godine , br. OV-858/95, u korist Cibalae banke d.d., Vinkovci, oznake Z-1951/95, od 16.05.1995. god., a pod oznakom Z-213/99 , od 21.01.1999. godine zabilježena je činjenica postojanja prijedloga osiguranja uknjižbom prava zaloga predlagatelja RH, Ministarstva financija, Porezna uprava, Područni ured Slavonski Brod, temeljem rješenja br. Ovr-381/00-12, od 02.06.2006. godine.</w:t>
      </w:r>
    </w:p>
    <w:p w:rsidR="00F82CC1" w:rsidRDefault="00F82CC1" w:rsidP="00206CED">
      <w:r w:rsidRPr="009336F0">
        <w:rPr>
          <w:b/>
        </w:rPr>
        <w:t>3. Upisane u z.k.ul. 246</w:t>
      </w:r>
      <w:r>
        <w:t>, k.o. Glogovica, oznake:                                                                                                                                                     - k.č.br. 598, oranica Šutanska u Katunima, površine 1378 čhv.                                                                                                                         Na navedenoj nekretnini uknjiženo je pravo zaloga za glavni dug u iznosu od 546.000,00 kn u korist Cibalae banke d.d., Vinkovci, temeljem Ugovora o zajmu br. OV-858/1995, pod oznakom Z-1951/95, a pod oznakom Z-213/99 zabilježena je činjenica postojanja prijedloga za osiguranje uknjižbom prava zaloga predlagatelja RH, Ministarstva financija, Porezna uprava, Područni ured Slavonski Brod, temeljem rješenja br. Ovr-381/00-12, od 02.06.2006. god.</w:t>
      </w:r>
    </w:p>
    <w:p w:rsidR="00F82CC1" w:rsidRDefault="00F82CC1" w:rsidP="00206CED">
      <w:r>
        <w:t xml:space="preserve">Procijenjena tržišna vrijednost nekretnina pod 1., 2., i 3. , prema zadnjoj  procjeni stalnog sudskog vještaka Zvonka Benjak , utvrđena je u iznosu od 2.331.882,64 kn, dok je procijenjena tržišna vrijednost otpadnog željeza koje se nalazi na tim nekretninama, kao pripadak, u vidu metalnih konstrukcija devastiranih i urušenih proizvodnih hala i postrojenja, po procjeni stalnih sudskih vještaka Krunoslava  Ormuž i Đure šarić,  procijenjena na iznos od  1.260.000,00 kn  do  450.000,00 kn, ovisno o tome da li bi stečajni dužnik sam vršio rezanje i odvoz metalnog otpada u reciklažno dvorište kupca ili bi te radnje obavio kupac. </w:t>
      </w:r>
    </w:p>
    <w:p w:rsidR="00F82CC1" w:rsidRDefault="00F82CC1" w:rsidP="00206CED">
      <w:r>
        <w:t xml:space="preserve">Dakle, cjelokupna stečajna masa dužnika (nekretnine i otpadno željezo) procijenjena je na iznos od </w:t>
      </w:r>
      <w:r w:rsidRPr="00543A7B">
        <w:rPr>
          <w:b/>
        </w:rPr>
        <w:t xml:space="preserve">2.781.882,64 </w:t>
      </w:r>
      <w:r>
        <w:t xml:space="preserve">kn do </w:t>
      </w:r>
      <w:r w:rsidRPr="00543A7B">
        <w:rPr>
          <w:b/>
        </w:rPr>
        <w:t>3.731.882,64</w:t>
      </w:r>
      <w:r>
        <w:t xml:space="preserve"> kn, ovisno o načinu zbrinjavanja i prodaje metalnog otpada.</w:t>
      </w:r>
    </w:p>
    <w:p w:rsidR="00F82CC1" w:rsidRDefault="00F82CC1" w:rsidP="00E1079A">
      <w:r w:rsidRPr="00E4791A">
        <w:rPr>
          <w:b/>
        </w:rPr>
        <w:t>Razlučni vjerovnic</w:t>
      </w:r>
      <w:r>
        <w:rPr>
          <w:b/>
        </w:rPr>
        <w:t xml:space="preserve">i :                                                                                                                                                                                                                   </w:t>
      </w:r>
      <w:r w:rsidRPr="00711DC9">
        <w:t xml:space="preserve">Razlučna prava na nekretninama dužnika imaju slijedeći vjerovnici:                                                                                                                                                                                 </w:t>
      </w:r>
      <w:r w:rsidRPr="00E4791A">
        <w:t>-Stečajna masa CIBALAE</w:t>
      </w:r>
      <w:r>
        <w:t xml:space="preserve"> </w:t>
      </w:r>
      <w:r w:rsidRPr="00E4791A">
        <w:t xml:space="preserve"> BANKA d.d. u stečaju, Vinkovci, za iznos tražbine osiguran razlučnim pravom od 259.728,85 kn,                                                                                                                                                                                         -RH, Ministarstvo financija, Porezna uprava, Područni ured Slavonski Brod, za osigurani iznos glavnice od 903.670,43 kn</w:t>
      </w:r>
      <w:r>
        <w:t>.</w:t>
      </w:r>
    </w:p>
    <w:p w:rsidR="00F82CC1" w:rsidRDefault="00F82CC1" w:rsidP="00E1079A"/>
    <w:p w:rsidR="00F82CC1" w:rsidRDefault="00F82CC1" w:rsidP="00E1079A"/>
    <w:p w:rsidR="00F82CC1" w:rsidRPr="00E1079A" w:rsidRDefault="00F82CC1" w:rsidP="00E1079A">
      <w:pPr>
        <w:pStyle w:val="ListParagraph"/>
        <w:numPr>
          <w:ilvl w:val="0"/>
          <w:numId w:val="10"/>
        </w:numPr>
      </w:pPr>
      <w:r w:rsidRPr="00E1079A">
        <w:rPr>
          <w:b/>
        </w:rPr>
        <w:t xml:space="preserve">STEČAJNI VJEROVNICI </w:t>
      </w:r>
      <w:r>
        <w:rPr>
          <w:b/>
        </w:rPr>
        <w:t xml:space="preserve">      </w:t>
      </w:r>
    </w:p>
    <w:p w:rsidR="00F82CC1" w:rsidRDefault="00F82CC1" w:rsidP="00E1079A">
      <w:pPr>
        <w:ind w:left="720"/>
      </w:pPr>
      <w:r>
        <w:t>-</w:t>
      </w:r>
      <w:r w:rsidRPr="00E1079A">
        <w:t>Vjerovnici</w:t>
      </w:r>
      <w:r>
        <w:t xml:space="preserve"> </w:t>
      </w:r>
      <w:r w:rsidRPr="00E1079A">
        <w:t xml:space="preserve"> I.</w:t>
      </w:r>
      <w:r>
        <w:t xml:space="preserve"> </w:t>
      </w:r>
      <w:r w:rsidRPr="00E1079A">
        <w:t xml:space="preserve"> višeg isplatnog reda, potražuju ukupno </w:t>
      </w:r>
      <w:r>
        <w:t xml:space="preserve"> </w:t>
      </w:r>
      <w:r w:rsidRPr="00E1079A">
        <w:rPr>
          <w:b/>
        </w:rPr>
        <w:t>2.752.150,47</w:t>
      </w:r>
      <w:r w:rsidRPr="00E1079A">
        <w:t xml:space="preserve"> kn,</w:t>
      </w:r>
      <w:r>
        <w:t xml:space="preserve">                                                  - </w:t>
      </w:r>
      <w:r w:rsidRPr="00E1079A">
        <w:t>Vjerovnici</w:t>
      </w:r>
      <w:r>
        <w:t xml:space="preserve"> </w:t>
      </w:r>
      <w:r w:rsidRPr="00E1079A">
        <w:t xml:space="preserve"> II. višeg isplatnog reda potražuju ukupno </w:t>
      </w:r>
      <w:r>
        <w:t xml:space="preserve"> </w:t>
      </w:r>
      <w:r w:rsidRPr="00E1079A">
        <w:rPr>
          <w:b/>
        </w:rPr>
        <w:t>2.611.409,84</w:t>
      </w:r>
      <w:r w:rsidRPr="00E1079A">
        <w:t xml:space="preserve"> kn </w:t>
      </w:r>
      <w:r>
        <w:t xml:space="preserve">                                                                                                                                       </w:t>
      </w:r>
      <w:r w:rsidRPr="00E1079A">
        <w:rPr>
          <w:b/>
        </w:rPr>
        <w:t xml:space="preserve">Ukupno:                                                                              </w:t>
      </w:r>
      <w:r>
        <w:rPr>
          <w:b/>
        </w:rPr>
        <w:t xml:space="preserve"> </w:t>
      </w:r>
      <w:r w:rsidRPr="00E1079A">
        <w:rPr>
          <w:b/>
        </w:rPr>
        <w:t xml:space="preserve">   5.363.560,31 kn</w:t>
      </w:r>
    </w:p>
    <w:p w:rsidR="00F82CC1" w:rsidRPr="00E1079A" w:rsidRDefault="00F82CC1" w:rsidP="00E1079A">
      <w:pPr>
        <w:pStyle w:val="ListParagraph"/>
      </w:pPr>
      <w:r w:rsidRPr="00E1079A">
        <w:t xml:space="preserve">                                                                                                                                                  </w:t>
      </w:r>
    </w:p>
    <w:p w:rsidR="00F82CC1" w:rsidRDefault="00F82CC1" w:rsidP="00543A7B">
      <w:pPr>
        <w:pStyle w:val="ListParagraph"/>
        <w:numPr>
          <w:ilvl w:val="0"/>
          <w:numId w:val="10"/>
        </w:numPr>
        <w:rPr>
          <w:b/>
        </w:rPr>
      </w:pPr>
      <w:r w:rsidRPr="00793525">
        <w:rPr>
          <w:b/>
        </w:rPr>
        <w:t xml:space="preserve"> </w:t>
      </w:r>
      <w:r>
        <w:rPr>
          <w:b/>
        </w:rPr>
        <w:t>OBVEZE STEČAJNE MASE</w:t>
      </w:r>
    </w:p>
    <w:p w:rsidR="00F82CC1" w:rsidRDefault="00F82CC1" w:rsidP="00711DC9">
      <w:pPr>
        <w:pStyle w:val="ListParagraph"/>
        <w:numPr>
          <w:ilvl w:val="0"/>
          <w:numId w:val="16"/>
        </w:numPr>
      </w:pPr>
      <w:r w:rsidRPr="00711DC9">
        <w:rPr>
          <w:b/>
        </w:rPr>
        <w:t>Troškovi stečajnog postupka</w:t>
      </w:r>
      <w:r>
        <w:t xml:space="preserve"> </w:t>
      </w:r>
    </w:p>
    <w:p w:rsidR="00F82CC1" w:rsidRDefault="00F82CC1" w:rsidP="00CD0B28">
      <w:r>
        <w:t xml:space="preserve">U troškove stečajnog postupka spadaju:  nagrade te stvarni i nužni troškovi  stečajnih upravitelja i sudski troškovi.                                                                                                                                                              </w:t>
      </w:r>
      <w:r w:rsidRPr="00711DC9">
        <w:t>Prema raspoloživoj dokumentac</w:t>
      </w:r>
      <w:r>
        <w:t xml:space="preserve">iji koju je preuzeo stečajni upravitelj, nije moguće utvrditi u kojem su iznosu ostvareni troškovi stečajnog postupka u dosadašnjem tijeku stečajnog postupka. </w:t>
      </w:r>
    </w:p>
    <w:p w:rsidR="00F82CC1" w:rsidRDefault="00F82CC1" w:rsidP="00CD0B28">
      <w:pPr>
        <w:pStyle w:val="ListParagraph"/>
        <w:numPr>
          <w:ilvl w:val="0"/>
          <w:numId w:val="16"/>
        </w:numPr>
        <w:rPr>
          <w:b/>
        </w:rPr>
      </w:pPr>
      <w:r w:rsidRPr="00CD0B28">
        <w:rPr>
          <w:b/>
        </w:rPr>
        <w:t xml:space="preserve">Ostale obveze stečajne mase:   </w:t>
      </w:r>
    </w:p>
    <w:p w:rsidR="00F82CC1" w:rsidRDefault="00F82CC1" w:rsidP="00CD0B28">
      <w:r w:rsidRPr="00CD0B28">
        <w:t xml:space="preserve">Uvidom u raspoloživu dokumentaciju </w:t>
      </w:r>
      <w:r>
        <w:t xml:space="preserve">stečajnog dužnika </w:t>
      </w:r>
      <w:r w:rsidRPr="00CD0B28">
        <w:t xml:space="preserve">utvrđene su </w:t>
      </w:r>
      <w:r>
        <w:t xml:space="preserve">dospjele, a nenamirene </w:t>
      </w:r>
      <w:r w:rsidRPr="00CD0B28">
        <w:t xml:space="preserve">ostale obveze stečajne mase prema vjerovnicima stečajne mase kako slijedi: </w:t>
      </w:r>
    </w:p>
    <w:p w:rsidR="00F82CC1" w:rsidRDefault="00F82CC1" w:rsidP="001A6059">
      <w:r>
        <w:t xml:space="preserve">-JTD MAGIĆ I DR.                                                                                                                592,32 kn                                                 - KUČINIĆ d.o.o.                                                                                                               2.391,20 kn                                                                                                                           - Odvjetnica Nada Kustura   ( zastupanje)                                                                 96.250,00 kn                                                                     -Općina Podcrkavlje        ( komunalna naknada za zadnje 3 godine)                  157.395,60 kn                                      -Odvjetnica Stanka Hnatko     ( zastupanje)                                                              36.389,76 kn                                                                                                    -VAM-ING d.o.o. u stečaju    (dosuđeni  sudski troškovi)                                      172.642,66 kn                                          -Nada Reljić       ( knjigovodstvene i revizorske  usluge)                                         132.500,22 kn                                                                                           -BRIBIRSKI PARKOVI d.o.o.   ( plaćeni računi za dužnika)                                         10.465,00 kn                                                                                                                                   -Slavko Opačak                 ( neisplaćene plaće, ugovori o djelu)                               26.802,33 kn                                      -Boras Zvonko                         ( ugovori o djelu)                                                             7.986,12 kn                                                      -HRVATSKE VODE                  ( vodni doprinosi)                                                         233.366,88 kn                                                                                                                                                                               -BROD d.o.o.                           ( dosuđeni sudski troškovi)                                           18.955,75 kn                                    -Državni proračun RH            ( sudske pristojbe)                                                            8.050,00 kn                                -FINA                                                ( naknade)                                                                      350,00 kn                                                                             -Obrt PUKE                               (knjigovodstvene usluge)                                                3.000,00 kn                                                                                                                                 -Hrvoje Grgić                          ( čuvanje imovine)                                                              8.984,40 kn                  --------------------------------------------------------------------------------------------------------------------------  </w:t>
      </w:r>
      <w:r w:rsidRPr="00E64D25">
        <w:rPr>
          <w:b/>
        </w:rPr>
        <w:t xml:space="preserve">Ukupno:                              </w:t>
      </w:r>
      <w:r>
        <w:rPr>
          <w:b/>
        </w:rPr>
        <w:t xml:space="preserve">                  </w:t>
      </w:r>
      <w:r w:rsidRPr="00E64D25">
        <w:rPr>
          <w:b/>
        </w:rPr>
        <w:t xml:space="preserve">                                                                             916.122,24 kn</w:t>
      </w:r>
      <w:r>
        <w:t xml:space="preserve">  </w:t>
      </w:r>
    </w:p>
    <w:p w:rsidR="00F82CC1" w:rsidRDefault="00F82CC1" w:rsidP="001A6059"/>
    <w:p w:rsidR="00F82CC1" w:rsidRPr="00E75AEE" w:rsidRDefault="00F82CC1" w:rsidP="001A6059">
      <w:pPr>
        <w:rPr>
          <w:b/>
        </w:rPr>
      </w:pPr>
    </w:p>
    <w:p w:rsidR="00F82CC1" w:rsidRPr="001A6059" w:rsidRDefault="00F82CC1" w:rsidP="001A6059">
      <w:r w:rsidRPr="001A6059">
        <w:rPr>
          <w:b/>
        </w:rPr>
        <w:t xml:space="preserve">        6.         SUDSKI POSTUPCI U TIJEKU      </w:t>
      </w:r>
      <w:r w:rsidRPr="001A6059">
        <w:t xml:space="preserve">                                                                                                                             </w:t>
      </w:r>
    </w:p>
    <w:p w:rsidR="00F82CC1" w:rsidRDefault="00F82CC1" w:rsidP="0060757F">
      <w:r w:rsidRPr="0060757F">
        <w:t>Tuženik Repu</w:t>
      </w:r>
      <w:r>
        <w:t xml:space="preserve">blika Hrvatska, radi utvrđenja </w:t>
      </w:r>
      <w:r w:rsidRPr="0060757F">
        <w:t xml:space="preserve"> postojanja tražbine, pred Trgovačkim sudom u Osijeku, Stalna služba u Slavonskom Brodu, pod posl. brojem: P-500/2014, VPS: 1.469.346,77 kn. Postupak je u žalbenom stadiju. Prvostupanjski sud je presudio u korist tužitelja DOMIN d.o.o. u stečaju.</w:t>
      </w:r>
      <w:r>
        <w:t xml:space="preserve">   </w:t>
      </w:r>
    </w:p>
    <w:p w:rsidR="00F82CC1" w:rsidRDefault="00F82CC1" w:rsidP="0060757F">
      <w:r>
        <w:t xml:space="preserve"> Stečajni upravitelj predlaže da se ovo izvješće usvoji u cijelosti.</w:t>
      </w:r>
      <w:r w:rsidRPr="00793525">
        <w:t xml:space="preserve"> </w:t>
      </w:r>
    </w:p>
    <w:p w:rsidR="00F82CC1" w:rsidRPr="001A6059" w:rsidRDefault="00F82CC1" w:rsidP="00743EDE">
      <w:pPr>
        <w:ind w:left="7080"/>
      </w:pPr>
      <w:r>
        <w:rPr>
          <w:b/>
        </w:rPr>
        <w:t xml:space="preserve">                                                                                                                          </w:t>
      </w:r>
      <w:r>
        <w:t>S</w:t>
      </w:r>
      <w:r w:rsidRPr="001A6059">
        <w:t>tečajni upravitelj</w:t>
      </w:r>
      <w:r>
        <w:t>:                               Milan Nakić</w:t>
      </w:r>
    </w:p>
    <w:p w:rsidR="00F82CC1" w:rsidRPr="00206CED" w:rsidRDefault="00F82CC1" w:rsidP="00FE72B1">
      <w:r>
        <w:t xml:space="preserve">                              </w:t>
      </w:r>
      <w:r w:rsidRPr="00FE72B1">
        <w:rPr>
          <w:b/>
        </w:rPr>
        <w:t xml:space="preserve">    </w:t>
      </w:r>
      <w:r w:rsidRPr="00206CED">
        <w:t xml:space="preserve">                                                                                                                                                                                                                                                                                             </w:t>
      </w:r>
    </w:p>
    <w:p w:rsidR="00F82CC1" w:rsidRDefault="00F82CC1" w:rsidP="002A149E">
      <w:r>
        <w:t xml:space="preserve">                                                     </w:t>
      </w:r>
    </w:p>
    <w:sectPr w:rsidR="00F82CC1" w:rsidSect="0032566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63096"/>
    <w:multiLevelType w:val="hybridMultilevel"/>
    <w:tmpl w:val="EA241F26"/>
    <w:lvl w:ilvl="0" w:tplc="283AA1D4">
      <w:start w:val="4"/>
      <w:numFmt w:val="bullet"/>
      <w:lvlText w:val="-"/>
      <w:lvlJc w:val="left"/>
      <w:pPr>
        <w:ind w:left="360" w:hanging="360"/>
      </w:pPr>
      <w:rPr>
        <w:rFonts w:ascii="Calibri" w:eastAsia="Times New Roman" w:hAnsi="Calibri"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nsid w:val="07822F58"/>
    <w:multiLevelType w:val="hybridMultilevel"/>
    <w:tmpl w:val="9C6ECA4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nsid w:val="14EF4628"/>
    <w:multiLevelType w:val="hybridMultilevel"/>
    <w:tmpl w:val="5A82C03E"/>
    <w:lvl w:ilvl="0" w:tplc="1E32C7A4">
      <w:start w:val="1"/>
      <w:numFmt w:val="decimal"/>
      <w:lvlText w:val="%1."/>
      <w:lvlJc w:val="left"/>
      <w:pPr>
        <w:ind w:left="720" w:hanging="360"/>
      </w:pPr>
      <w:rPr>
        <w:rFonts w:cs="Times New Roman" w:hint="default"/>
        <w:b/>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nsid w:val="1B2C17F2"/>
    <w:multiLevelType w:val="hybridMultilevel"/>
    <w:tmpl w:val="AA368414"/>
    <w:lvl w:ilvl="0" w:tplc="F55A162A">
      <w:start w:val="4"/>
      <w:numFmt w:val="bullet"/>
      <w:lvlText w:val="-"/>
      <w:lvlJc w:val="left"/>
      <w:pPr>
        <w:ind w:left="720" w:hanging="360"/>
      </w:pPr>
      <w:rPr>
        <w:rFonts w:ascii="Calibri" w:eastAsia="Times New Roman" w:hAnsi="Calibri" w:hint="default"/>
        <w:b/>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B0F1C0B"/>
    <w:multiLevelType w:val="hybridMultilevel"/>
    <w:tmpl w:val="BB507236"/>
    <w:lvl w:ilvl="0" w:tplc="5C5A3E9E">
      <w:start w:val="1"/>
      <w:numFmt w:val="bullet"/>
      <w:lvlText w:val="-"/>
      <w:lvlJc w:val="left"/>
      <w:pPr>
        <w:ind w:left="5664" w:hanging="360"/>
      </w:pPr>
      <w:rPr>
        <w:rFonts w:ascii="Calibri" w:eastAsia="Times New Roman" w:hAnsi="Calibri" w:hint="default"/>
      </w:rPr>
    </w:lvl>
    <w:lvl w:ilvl="1" w:tplc="041A0003" w:tentative="1">
      <w:start w:val="1"/>
      <w:numFmt w:val="bullet"/>
      <w:lvlText w:val="o"/>
      <w:lvlJc w:val="left"/>
      <w:pPr>
        <w:ind w:left="6384" w:hanging="360"/>
      </w:pPr>
      <w:rPr>
        <w:rFonts w:ascii="Courier New" w:hAnsi="Courier New" w:hint="default"/>
      </w:rPr>
    </w:lvl>
    <w:lvl w:ilvl="2" w:tplc="041A0005" w:tentative="1">
      <w:start w:val="1"/>
      <w:numFmt w:val="bullet"/>
      <w:lvlText w:val=""/>
      <w:lvlJc w:val="left"/>
      <w:pPr>
        <w:ind w:left="7104" w:hanging="360"/>
      </w:pPr>
      <w:rPr>
        <w:rFonts w:ascii="Wingdings" w:hAnsi="Wingdings" w:hint="default"/>
      </w:rPr>
    </w:lvl>
    <w:lvl w:ilvl="3" w:tplc="041A0001" w:tentative="1">
      <w:start w:val="1"/>
      <w:numFmt w:val="bullet"/>
      <w:lvlText w:val=""/>
      <w:lvlJc w:val="left"/>
      <w:pPr>
        <w:ind w:left="7824" w:hanging="360"/>
      </w:pPr>
      <w:rPr>
        <w:rFonts w:ascii="Symbol" w:hAnsi="Symbol" w:hint="default"/>
      </w:rPr>
    </w:lvl>
    <w:lvl w:ilvl="4" w:tplc="041A0003" w:tentative="1">
      <w:start w:val="1"/>
      <w:numFmt w:val="bullet"/>
      <w:lvlText w:val="o"/>
      <w:lvlJc w:val="left"/>
      <w:pPr>
        <w:ind w:left="8544" w:hanging="360"/>
      </w:pPr>
      <w:rPr>
        <w:rFonts w:ascii="Courier New" w:hAnsi="Courier New" w:hint="default"/>
      </w:rPr>
    </w:lvl>
    <w:lvl w:ilvl="5" w:tplc="041A0005" w:tentative="1">
      <w:start w:val="1"/>
      <w:numFmt w:val="bullet"/>
      <w:lvlText w:val=""/>
      <w:lvlJc w:val="left"/>
      <w:pPr>
        <w:ind w:left="9264" w:hanging="360"/>
      </w:pPr>
      <w:rPr>
        <w:rFonts w:ascii="Wingdings" w:hAnsi="Wingdings" w:hint="default"/>
      </w:rPr>
    </w:lvl>
    <w:lvl w:ilvl="6" w:tplc="041A0001" w:tentative="1">
      <w:start w:val="1"/>
      <w:numFmt w:val="bullet"/>
      <w:lvlText w:val=""/>
      <w:lvlJc w:val="left"/>
      <w:pPr>
        <w:ind w:left="9984" w:hanging="360"/>
      </w:pPr>
      <w:rPr>
        <w:rFonts w:ascii="Symbol" w:hAnsi="Symbol" w:hint="default"/>
      </w:rPr>
    </w:lvl>
    <w:lvl w:ilvl="7" w:tplc="041A0003" w:tentative="1">
      <w:start w:val="1"/>
      <w:numFmt w:val="bullet"/>
      <w:lvlText w:val="o"/>
      <w:lvlJc w:val="left"/>
      <w:pPr>
        <w:ind w:left="10704" w:hanging="360"/>
      </w:pPr>
      <w:rPr>
        <w:rFonts w:ascii="Courier New" w:hAnsi="Courier New" w:hint="default"/>
      </w:rPr>
    </w:lvl>
    <w:lvl w:ilvl="8" w:tplc="041A0005" w:tentative="1">
      <w:start w:val="1"/>
      <w:numFmt w:val="bullet"/>
      <w:lvlText w:val=""/>
      <w:lvlJc w:val="left"/>
      <w:pPr>
        <w:ind w:left="11424" w:hanging="360"/>
      </w:pPr>
      <w:rPr>
        <w:rFonts w:ascii="Wingdings" w:hAnsi="Wingdings" w:hint="default"/>
      </w:rPr>
    </w:lvl>
  </w:abstractNum>
  <w:abstractNum w:abstractNumId="5">
    <w:nsid w:val="3DDA0AF9"/>
    <w:multiLevelType w:val="hybridMultilevel"/>
    <w:tmpl w:val="6B1C81BE"/>
    <w:lvl w:ilvl="0" w:tplc="CD9EDBE4">
      <w:start w:val="2"/>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0763BC8"/>
    <w:multiLevelType w:val="hybridMultilevel"/>
    <w:tmpl w:val="68BC8DD2"/>
    <w:lvl w:ilvl="0" w:tplc="12E8C4EE">
      <w:start w:val="4"/>
      <w:numFmt w:val="bullet"/>
      <w:lvlText w:val="-"/>
      <w:lvlJc w:val="left"/>
      <w:pPr>
        <w:ind w:left="1080" w:hanging="360"/>
      </w:pPr>
      <w:rPr>
        <w:rFonts w:ascii="Calibri" w:eastAsia="Times New Roman" w:hAnsi="Calibri"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nsid w:val="44DF61D0"/>
    <w:multiLevelType w:val="hybridMultilevel"/>
    <w:tmpl w:val="DD00CF7E"/>
    <w:lvl w:ilvl="0" w:tplc="A7EEF81C">
      <w:start w:val="1"/>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465D12C5"/>
    <w:multiLevelType w:val="hybridMultilevel"/>
    <w:tmpl w:val="C81670B2"/>
    <w:lvl w:ilvl="0" w:tplc="66AEA808">
      <w:start w:val="1"/>
      <w:numFmt w:val="bullet"/>
      <w:lvlText w:val="-"/>
      <w:lvlJc w:val="left"/>
      <w:pPr>
        <w:ind w:left="5670" w:hanging="360"/>
      </w:pPr>
      <w:rPr>
        <w:rFonts w:ascii="Calibri" w:eastAsia="Times New Roman" w:hAnsi="Calibri" w:hint="default"/>
      </w:rPr>
    </w:lvl>
    <w:lvl w:ilvl="1" w:tplc="041A0003" w:tentative="1">
      <w:start w:val="1"/>
      <w:numFmt w:val="bullet"/>
      <w:lvlText w:val="o"/>
      <w:lvlJc w:val="left"/>
      <w:pPr>
        <w:ind w:left="6390" w:hanging="360"/>
      </w:pPr>
      <w:rPr>
        <w:rFonts w:ascii="Courier New" w:hAnsi="Courier New" w:hint="default"/>
      </w:rPr>
    </w:lvl>
    <w:lvl w:ilvl="2" w:tplc="041A0005" w:tentative="1">
      <w:start w:val="1"/>
      <w:numFmt w:val="bullet"/>
      <w:lvlText w:val=""/>
      <w:lvlJc w:val="left"/>
      <w:pPr>
        <w:ind w:left="7110" w:hanging="360"/>
      </w:pPr>
      <w:rPr>
        <w:rFonts w:ascii="Wingdings" w:hAnsi="Wingdings" w:hint="default"/>
      </w:rPr>
    </w:lvl>
    <w:lvl w:ilvl="3" w:tplc="041A0001" w:tentative="1">
      <w:start w:val="1"/>
      <w:numFmt w:val="bullet"/>
      <w:lvlText w:val=""/>
      <w:lvlJc w:val="left"/>
      <w:pPr>
        <w:ind w:left="7830" w:hanging="360"/>
      </w:pPr>
      <w:rPr>
        <w:rFonts w:ascii="Symbol" w:hAnsi="Symbol" w:hint="default"/>
      </w:rPr>
    </w:lvl>
    <w:lvl w:ilvl="4" w:tplc="041A0003" w:tentative="1">
      <w:start w:val="1"/>
      <w:numFmt w:val="bullet"/>
      <w:lvlText w:val="o"/>
      <w:lvlJc w:val="left"/>
      <w:pPr>
        <w:ind w:left="8550" w:hanging="360"/>
      </w:pPr>
      <w:rPr>
        <w:rFonts w:ascii="Courier New" w:hAnsi="Courier New" w:hint="default"/>
      </w:rPr>
    </w:lvl>
    <w:lvl w:ilvl="5" w:tplc="041A0005" w:tentative="1">
      <w:start w:val="1"/>
      <w:numFmt w:val="bullet"/>
      <w:lvlText w:val=""/>
      <w:lvlJc w:val="left"/>
      <w:pPr>
        <w:ind w:left="9270" w:hanging="360"/>
      </w:pPr>
      <w:rPr>
        <w:rFonts w:ascii="Wingdings" w:hAnsi="Wingdings" w:hint="default"/>
      </w:rPr>
    </w:lvl>
    <w:lvl w:ilvl="6" w:tplc="041A0001" w:tentative="1">
      <w:start w:val="1"/>
      <w:numFmt w:val="bullet"/>
      <w:lvlText w:val=""/>
      <w:lvlJc w:val="left"/>
      <w:pPr>
        <w:ind w:left="9990" w:hanging="360"/>
      </w:pPr>
      <w:rPr>
        <w:rFonts w:ascii="Symbol" w:hAnsi="Symbol" w:hint="default"/>
      </w:rPr>
    </w:lvl>
    <w:lvl w:ilvl="7" w:tplc="041A0003" w:tentative="1">
      <w:start w:val="1"/>
      <w:numFmt w:val="bullet"/>
      <w:lvlText w:val="o"/>
      <w:lvlJc w:val="left"/>
      <w:pPr>
        <w:ind w:left="10710" w:hanging="360"/>
      </w:pPr>
      <w:rPr>
        <w:rFonts w:ascii="Courier New" w:hAnsi="Courier New" w:hint="default"/>
      </w:rPr>
    </w:lvl>
    <w:lvl w:ilvl="8" w:tplc="041A0005" w:tentative="1">
      <w:start w:val="1"/>
      <w:numFmt w:val="bullet"/>
      <w:lvlText w:val=""/>
      <w:lvlJc w:val="left"/>
      <w:pPr>
        <w:ind w:left="11430" w:hanging="360"/>
      </w:pPr>
      <w:rPr>
        <w:rFonts w:ascii="Wingdings" w:hAnsi="Wingdings" w:hint="default"/>
      </w:rPr>
    </w:lvl>
  </w:abstractNum>
  <w:abstractNum w:abstractNumId="9">
    <w:nsid w:val="481809D3"/>
    <w:multiLevelType w:val="hybridMultilevel"/>
    <w:tmpl w:val="5016AC20"/>
    <w:lvl w:ilvl="0" w:tplc="A8487C42">
      <w:start w:val="4"/>
      <w:numFmt w:val="bullet"/>
      <w:lvlText w:val="-"/>
      <w:lvlJc w:val="left"/>
      <w:pPr>
        <w:ind w:left="720" w:hanging="360"/>
      </w:pPr>
      <w:rPr>
        <w:rFonts w:ascii="Calibri" w:eastAsia="Times New Roman" w:hAnsi="Calibri" w:hint="default"/>
        <w:b/>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15913DD"/>
    <w:multiLevelType w:val="hybridMultilevel"/>
    <w:tmpl w:val="0BA62D0A"/>
    <w:lvl w:ilvl="0" w:tplc="B4DC05AC">
      <w:start w:val="4"/>
      <w:numFmt w:val="decimal"/>
      <w:lvlText w:val="%1."/>
      <w:lvlJc w:val="left"/>
      <w:pPr>
        <w:ind w:left="390" w:hanging="360"/>
      </w:pPr>
      <w:rPr>
        <w:rFonts w:cs="Times New Roman" w:hint="default"/>
      </w:rPr>
    </w:lvl>
    <w:lvl w:ilvl="1" w:tplc="041A0019" w:tentative="1">
      <w:start w:val="1"/>
      <w:numFmt w:val="lowerLetter"/>
      <w:lvlText w:val="%2."/>
      <w:lvlJc w:val="left"/>
      <w:pPr>
        <w:ind w:left="1110" w:hanging="360"/>
      </w:pPr>
      <w:rPr>
        <w:rFonts w:cs="Times New Roman"/>
      </w:rPr>
    </w:lvl>
    <w:lvl w:ilvl="2" w:tplc="041A001B" w:tentative="1">
      <w:start w:val="1"/>
      <w:numFmt w:val="lowerRoman"/>
      <w:lvlText w:val="%3."/>
      <w:lvlJc w:val="right"/>
      <w:pPr>
        <w:ind w:left="1830" w:hanging="180"/>
      </w:pPr>
      <w:rPr>
        <w:rFonts w:cs="Times New Roman"/>
      </w:rPr>
    </w:lvl>
    <w:lvl w:ilvl="3" w:tplc="041A000F" w:tentative="1">
      <w:start w:val="1"/>
      <w:numFmt w:val="decimal"/>
      <w:lvlText w:val="%4."/>
      <w:lvlJc w:val="left"/>
      <w:pPr>
        <w:ind w:left="2550" w:hanging="360"/>
      </w:pPr>
      <w:rPr>
        <w:rFonts w:cs="Times New Roman"/>
      </w:rPr>
    </w:lvl>
    <w:lvl w:ilvl="4" w:tplc="041A0019" w:tentative="1">
      <w:start w:val="1"/>
      <w:numFmt w:val="lowerLetter"/>
      <w:lvlText w:val="%5."/>
      <w:lvlJc w:val="left"/>
      <w:pPr>
        <w:ind w:left="3270" w:hanging="360"/>
      </w:pPr>
      <w:rPr>
        <w:rFonts w:cs="Times New Roman"/>
      </w:rPr>
    </w:lvl>
    <w:lvl w:ilvl="5" w:tplc="041A001B" w:tentative="1">
      <w:start w:val="1"/>
      <w:numFmt w:val="lowerRoman"/>
      <w:lvlText w:val="%6."/>
      <w:lvlJc w:val="right"/>
      <w:pPr>
        <w:ind w:left="3990" w:hanging="180"/>
      </w:pPr>
      <w:rPr>
        <w:rFonts w:cs="Times New Roman"/>
      </w:rPr>
    </w:lvl>
    <w:lvl w:ilvl="6" w:tplc="041A000F" w:tentative="1">
      <w:start w:val="1"/>
      <w:numFmt w:val="decimal"/>
      <w:lvlText w:val="%7."/>
      <w:lvlJc w:val="left"/>
      <w:pPr>
        <w:ind w:left="4710" w:hanging="360"/>
      </w:pPr>
      <w:rPr>
        <w:rFonts w:cs="Times New Roman"/>
      </w:rPr>
    </w:lvl>
    <w:lvl w:ilvl="7" w:tplc="041A0019" w:tentative="1">
      <w:start w:val="1"/>
      <w:numFmt w:val="lowerLetter"/>
      <w:lvlText w:val="%8."/>
      <w:lvlJc w:val="left"/>
      <w:pPr>
        <w:ind w:left="5430" w:hanging="360"/>
      </w:pPr>
      <w:rPr>
        <w:rFonts w:cs="Times New Roman"/>
      </w:rPr>
    </w:lvl>
    <w:lvl w:ilvl="8" w:tplc="041A001B" w:tentative="1">
      <w:start w:val="1"/>
      <w:numFmt w:val="lowerRoman"/>
      <w:lvlText w:val="%9."/>
      <w:lvlJc w:val="right"/>
      <w:pPr>
        <w:ind w:left="6150" w:hanging="180"/>
      </w:pPr>
      <w:rPr>
        <w:rFonts w:cs="Times New Roman"/>
      </w:rPr>
    </w:lvl>
  </w:abstractNum>
  <w:abstractNum w:abstractNumId="11">
    <w:nsid w:val="583E0B88"/>
    <w:multiLevelType w:val="hybridMultilevel"/>
    <w:tmpl w:val="B16C2766"/>
    <w:lvl w:ilvl="0" w:tplc="6450B78A">
      <w:start w:val="1"/>
      <w:numFmt w:val="decimal"/>
      <w:lvlText w:val="%1."/>
      <w:lvlJc w:val="left"/>
      <w:pPr>
        <w:ind w:left="720" w:hanging="360"/>
      </w:pPr>
      <w:rPr>
        <w:rFonts w:cs="Times New Roman" w:hint="default"/>
        <w:b/>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nsid w:val="599F010E"/>
    <w:multiLevelType w:val="hybridMultilevel"/>
    <w:tmpl w:val="BB58A24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nsid w:val="703442E7"/>
    <w:multiLevelType w:val="hybridMultilevel"/>
    <w:tmpl w:val="00A4FF90"/>
    <w:lvl w:ilvl="0" w:tplc="266EB666">
      <w:start w:val="1"/>
      <w:numFmt w:val="bullet"/>
      <w:lvlText w:val="-"/>
      <w:lvlJc w:val="left"/>
      <w:pPr>
        <w:ind w:left="5670" w:hanging="360"/>
      </w:pPr>
      <w:rPr>
        <w:rFonts w:ascii="Calibri" w:eastAsia="Times New Roman" w:hAnsi="Calibri" w:hint="default"/>
      </w:rPr>
    </w:lvl>
    <w:lvl w:ilvl="1" w:tplc="041A0003" w:tentative="1">
      <w:start w:val="1"/>
      <w:numFmt w:val="bullet"/>
      <w:lvlText w:val="o"/>
      <w:lvlJc w:val="left"/>
      <w:pPr>
        <w:ind w:left="6390" w:hanging="360"/>
      </w:pPr>
      <w:rPr>
        <w:rFonts w:ascii="Courier New" w:hAnsi="Courier New" w:hint="default"/>
      </w:rPr>
    </w:lvl>
    <w:lvl w:ilvl="2" w:tplc="041A0005" w:tentative="1">
      <w:start w:val="1"/>
      <w:numFmt w:val="bullet"/>
      <w:lvlText w:val=""/>
      <w:lvlJc w:val="left"/>
      <w:pPr>
        <w:ind w:left="7110" w:hanging="360"/>
      </w:pPr>
      <w:rPr>
        <w:rFonts w:ascii="Wingdings" w:hAnsi="Wingdings" w:hint="default"/>
      </w:rPr>
    </w:lvl>
    <w:lvl w:ilvl="3" w:tplc="041A0001" w:tentative="1">
      <w:start w:val="1"/>
      <w:numFmt w:val="bullet"/>
      <w:lvlText w:val=""/>
      <w:lvlJc w:val="left"/>
      <w:pPr>
        <w:ind w:left="7830" w:hanging="360"/>
      </w:pPr>
      <w:rPr>
        <w:rFonts w:ascii="Symbol" w:hAnsi="Symbol" w:hint="default"/>
      </w:rPr>
    </w:lvl>
    <w:lvl w:ilvl="4" w:tplc="041A0003" w:tentative="1">
      <w:start w:val="1"/>
      <w:numFmt w:val="bullet"/>
      <w:lvlText w:val="o"/>
      <w:lvlJc w:val="left"/>
      <w:pPr>
        <w:ind w:left="8550" w:hanging="360"/>
      </w:pPr>
      <w:rPr>
        <w:rFonts w:ascii="Courier New" w:hAnsi="Courier New" w:hint="default"/>
      </w:rPr>
    </w:lvl>
    <w:lvl w:ilvl="5" w:tplc="041A0005" w:tentative="1">
      <w:start w:val="1"/>
      <w:numFmt w:val="bullet"/>
      <w:lvlText w:val=""/>
      <w:lvlJc w:val="left"/>
      <w:pPr>
        <w:ind w:left="9270" w:hanging="360"/>
      </w:pPr>
      <w:rPr>
        <w:rFonts w:ascii="Wingdings" w:hAnsi="Wingdings" w:hint="default"/>
      </w:rPr>
    </w:lvl>
    <w:lvl w:ilvl="6" w:tplc="041A0001" w:tentative="1">
      <w:start w:val="1"/>
      <w:numFmt w:val="bullet"/>
      <w:lvlText w:val=""/>
      <w:lvlJc w:val="left"/>
      <w:pPr>
        <w:ind w:left="9990" w:hanging="360"/>
      </w:pPr>
      <w:rPr>
        <w:rFonts w:ascii="Symbol" w:hAnsi="Symbol" w:hint="default"/>
      </w:rPr>
    </w:lvl>
    <w:lvl w:ilvl="7" w:tplc="041A0003" w:tentative="1">
      <w:start w:val="1"/>
      <w:numFmt w:val="bullet"/>
      <w:lvlText w:val="o"/>
      <w:lvlJc w:val="left"/>
      <w:pPr>
        <w:ind w:left="10710" w:hanging="360"/>
      </w:pPr>
      <w:rPr>
        <w:rFonts w:ascii="Courier New" w:hAnsi="Courier New" w:hint="default"/>
      </w:rPr>
    </w:lvl>
    <w:lvl w:ilvl="8" w:tplc="041A0005" w:tentative="1">
      <w:start w:val="1"/>
      <w:numFmt w:val="bullet"/>
      <w:lvlText w:val=""/>
      <w:lvlJc w:val="left"/>
      <w:pPr>
        <w:ind w:left="11430" w:hanging="360"/>
      </w:pPr>
      <w:rPr>
        <w:rFonts w:ascii="Wingdings" w:hAnsi="Wingdings" w:hint="default"/>
      </w:rPr>
    </w:lvl>
  </w:abstractNum>
  <w:abstractNum w:abstractNumId="14">
    <w:nsid w:val="71DC5216"/>
    <w:multiLevelType w:val="hybridMultilevel"/>
    <w:tmpl w:val="005E66F0"/>
    <w:lvl w:ilvl="0" w:tplc="04B4A6E4">
      <w:start w:val="4"/>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727666BA"/>
    <w:multiLevelType w:val="hybridMultilevel"/>
    <w:tmpl w:val="78B6667A"/>
    <w:lvl w:ilvl="0" w:tplc="758AD038">
      <w:start w:val="1"/>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7"/>
  </w:num>
  <w:num w:numId="4">
    <w:abstractNumId w:val="5"/>
  </w:num>
  <w:num w:numId="5">
    <w:abstractNumId w:val="2"/>
  </w:num>
  <w:num w:numId="6">
    <w:abstractNumId w:val="1"/>
  </w:num>
  <w:num w:numId="7">
    <w:abstractNumId w:val="4"/>
  </w:num>
  <w:num w:numId="8">
    <w:abstractNumId w:val="13"/>
  </w:num>
  <w:num w:numId="9">
    <w:abstractNumId w:val="8"/>
  </w:num>
  <w:num w:numId="10">
    <w:abstractNumId w:val="11"/>
  </w:num>
  <w:num w:numId="11">
    <w:abstractNumId w:val="10"/>
  </w:num>
  <w:num w:numId="12">
    <w:abstractNumId w:val="3"/>
  </w:num>
  <w:num w:numId="13">
    <w:abstractNumId w:val="9"/>
  </w:num>
  <w:num w:numId="14">
    <w:abstractNumId w:val="14"/>
  </w:num>
  <w:num w:numId="15">
    <w:abstractNumId w:val="6"/>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3E4D"/>
    <w:rsid w:val="00001430"/>
    <w:rsid w:val="00005732"/>
    <w:rsid w:val="00021067"/>
    <w:rsid w:val="00052D1C"/>
    <w:rsid w:val="00080FB0"/>
    <w:rsid w:val="000A57DF"/>
    <w:rsid w:val="000B33D5"/>
    <w:rsid w:val="000E75B9"/>
    <w:rsid w:val="00122C6C"/>
    <w:rsid w:val="00145298"/>
    <w:rsid w:val="00161E9C"/>
    <w:rsid w:val="001833ED"/>
    <w:rsid w:val="001A6059"/>
    <w:rsid w:val="001E231A"/>
    <w:rsid w:val="00206CED"/>
    <w:rsid w:val="00206F14"/>
    <w:rsid w:val="00267A84"/>
    <w:rsid w:val="0028762B"/>
    <w:rsid w:val="00287D53"/>
    <w:rsid w:val="0029091C"/>
    <w:rsid w:val="002A149E"/>
    <w:rsid w:val="002B5AC5"/>
    <w:rsid w:val="00321670"/>
    <w:rsid w:val="00321CC8"/>
    <w:rsid w:val="00325667"/>
    <w:rsid w:val="00325EAD"/>
    <w:rsid w:val="003475CC"/>
    <w:rsid w:val="0043678C"/>
    <w:rsid w:val="00481636"/>
    <w:rsid w:val="004E5E2B"/>
    <w:rsid w:val="004F33C1"/>
    <w:rsid w:val="00501DD9"/>
    <w:rsid w:val="0050237B"/>
    <w:rsid w:val="005263E7"/>
    <w:rsid w:val="00534F1F"/>
    <w:rsid w:val="00543A7B"/>
    <w:rsid w:val="00591656"/>
    <w:rsid w:val="005D21F3"/>
    <w:rsid w:val="005D2914"/>
    <w:rsid w:val="005F40E6"/>
    <w:rsid w:val="0060757F"/>
    <w:rsid w:val="00645CF2"/>
    <w:rsid w:val="006616BE"/>
    <w:rsid w:val="006667A5"/>
    <w:rsid w:val="0067063E"/>
    <w:rsid w:val="006744E0"/>
    <w:rsid w:val="00690987"/>
    <w:rsid w:val="006A2B46"/>
    <w:rsid w:val="006A3889"/>
    <w:rsid w:val="006C5F50"/>
    <w:rsid w:val="006E6BD0"/>
    <w:rsid w:val="00711DC9"/>
    <w:rsid w:val="00725913"/>
    <w:rsid w:val="00743EDE"/>
    <w:rsid w:val="0078376E"/>
    <w:rsid w:val="007912D7"/>
    <w:rsid w:val="00792A39"/>
    <w:rsid w:val="00793525"/>
    <w:rsid w:val="007963E9"/>
    <w:rsid w:val="007B1612"/>
    <w:rsid w:val="007E2F58"/>
    <w:rsid w:val="00812684"/>
    <w:rsid w:val="00850040"/>
    <w:rsid w:val="00861977"/>
    <w:rsid w:val="00861D7A"/>
    <w:rsid w:val="008806E0"/>
    <w:rsid w:val="00881775"/>
    <w:rsid w:val="008E10F5"/>
    <w:rsid w:val="008E283D"/>
    <w:rsid w:val="008F7A73"/>
    <w:rsid w:val="00917177"/>
    <w:rsid w:val="00920F62"/>
    <w:rsid w:val="00926039"/>
    <w:rsid w:val="009329AE"/>
    <w:rsid w:val="009336F0"/>
    <w:rsid w:val="00946281"/>
    <w:rsid w:val="00953E4D"/>
    <w:rsid w:val="00967402"/>
    <w:rsid w:val="00983ADC"/>
    <w:rsid w:val="0098521F"/>
    <w:rsid w:val="009A6116"/>
    <w:rsid w:val="009B10D0"/>
    <w:rsid w:val="009E29CB"/>
    <w:rsid w:val="00A346B1"/>
    <w:rsid w:val="00A65B7C"/>
    <w:rsid w:val="00A769F3"/>
    <w:rsid w:val="00A77C33"/>
    <w:rsid w:val="00B27F58"/>
    <w:rsid w:val="00B64456"/>
    <w:rsid w:val="00B749C1"/>
    <w:rsid w:val="00B827B0"/>
    <w:rsid w:val="00B82D2A"/>
    <w:rsid w:val="00B973E7"/>
    <w:rsid w:val="00BF7376"/>
    <w:rsid w:val="00C3574E"/>
    <w:rsid w:val="00C74AC7"/>
    <w:rsid w:val="00CB199F"/>
    <w:rsid w:val="00CD0B28"/>
    <w:rsid w:val="00CF7FA5"/>
    <w:rsid w:val="00D35EF1"/>
    <w:rsid w:val="00D873A0"/>
    <w:rsid w:val="00DC5124"/>
    <w:rsid w:val="00DD47AC"/>
    <w:rsid w:val="00DE4802"/>
    <w:rsid w:val="00DF36DE"/>
    <w:rsid w:val="00E1079A"/>
    <w:rsid w:val="00E4791A"/>
    <w:rsid w:val="00E575E1"/>
    <w:rsid w:val="00E6073C"/>
    <w:rsid w:val="00E64D25"/>
    <w:rsid w:val="00E70AA0"/>
    <w:rsid w:val="00E75AEE"/>
    <w:rsid w:val="00E9285A"/>
    <w:rsid w:val="00EA5248"/>
    <w:rsid w:val="00EF38C2"/>
    <w:rsid w:val="00F018CB"/>
    <w:rsid w:val="00F20D32"/>
    <w:rsid w:val="00F465B3"/>
    <w:rsid w:val="00F551C5"/>
    <w:rsid w:val="00F76521"/>
    <w:rsid w:val="00F82CC1"/>
    <w:rsid w:val="00FA74C1"/>
    <w:rsid w:val="00FC50B1"/>
    <w:rsid w:val="00FC6F5E"/>
    <w:rsid w:val="00FD0A52"/>
    <w:rsid w:val="00FD7268"/>
    <w:rsid w:val="00FE0579"/>
    <w:rsid w:val="00FE72B1"/>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66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E10F5"/>
    <w:rPr>
      <w:rFonts w:cs="Times New Roman"/>
      <w:color w:val="0000FF"/>
      <w:u w:val="single"/>
    </w:rPr>
  </w:style>
  <w:style w:type="paragraph" w:styleId="ListParagraph">
    <w:name w:val="List Paragraph"/>
    <w:basedOn w:val="Normal"/>
    <w:uiPriority w:val="99"/>
    <w:qFormat/>
    <w:rsid w:val="00EF38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12</Pages>
  <Words>2818</Words>
  <Characters>16067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DOMIN  d</dc:title>
  <dc:subject/>
  <dc:creator>Milan</dc:creator>
  <cp:keywords/>
  <dc:description/>
  <cp:lastModifiedBy>marija jankovic</cp:lastModifiedBy>
  <cp:revision>2</cp:revision>
  <cp:lastPrinted>2015-10-19T11:14:00Z</cp:lastPrinted>
  <dcterms:created xsi:type="dcterms:W3CDTF">2015-10-28T07:23:00Z</dcterms:created>
  <dcterms:modified xsi:type="dcterms:W3CDTF">2015-10-28T07:23:00Z</dcterms:modified>
</cp:coreProperties>
</file>